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Cs w:val="36"/>
        </w:rPr>
      </w:pPr>
      <w:r>
        <w:rPr>
          <w:rFonts w:hint="eastAsia" w:ascii="黑体" w:hAnsi="黑体" w:eastAsia="黑体" w:cs="黑体"/>
          <w:color w:val="000000"/>
          <w:szCs w:val="36"/>
        </w:rPr>
        <w:t>附件</w:t>
      </w:r>
      <w:r>
        <w:rPr>
          <w:rFonts w:ascii="黑体" w:hAnsi="黑体" w:eastAsia="黑体" w:cs="黑体"/>
          <w:color w:val="000000"/>
          <w:szCs w:val="36"/>
        </w:rPr>
        <w:t>2</w:t>
      </w:r>
    </w:p>
    <w:p>
      <w:pPr>
        <w:spacing w:line="600" w:lineRule="exact"/>
        <w:rPr>
          <w:rFonts w:hint="eastAsia" w:ascii="仿宋_GB2312" w:hAnsi="仿宋_GB2312" w:cs="仿宋"/>
          <w:color w:val="000000"/>
          <w:szCs w:val="36"/>
        </w:rPr>
      </w:pPr>
    </w:p>
    <w:p>
      <w:pPr>
        <w:spacing w:line="600" w:lineRule="exact"/>
        <w:jc w:val="center"/>
        <w:rPr>
          <w:rFonts w:ascii="方正小标宋简体" w:hAnsi="仿宋_GB2312" w:eastAsia="方正小标宋简体" w:cs="仿宋"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"/>
          <w:color w:val="000000"/>
          <w:sz w:val="36"/>
          <w:szCs w:val="36"/>
        </w:rPr>
        <w:t>全国乡村旅游重点村申报方案提纲</w:t>
      </w:r>
    </w:p>
    <w:p>
      <w:pPr>
        <w:spacing w:line="600" w:lineRule="exact"/>
        <w:jc w:val="center"/>
        <w:rPr>
          <w:rFonts w:ascii="方正小标宋简体" w:hAnsi="仿宋_GB2312" w:eastAsia="方正小标宋简体" w:cs="仿宋"/>
          <w:color w:val="000000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一、文化和旅游资源禀赋情况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包括但不限于资源禀赋和价值、核心吸引物、旅游开发主题和定位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/>
        </w:rPr>
      </w:pPr>
      <w:r>
        <w:rPr>
          <w:rFonts w:hint="eastAsia" w:ascii="黑体" w:hAnsi="黑体" w:eastAsia="黑体" w:cs="黑体"/>
          <w:bCs/>
        </w:rPr>
        <w:t>二、旅游发展基本情况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</w:rPr>
        <w:t>1.</w:t>
      </w:r>
      <w:r>
        <w:rPr>
          <w:rFonts w:hint="eastAsia" w:ascii="仿宋_GB2312" w:hAnsi="仿宋_GB2312" w:cs="仿宋_GB2312"/>
          <w:snapToGrid w:val="0"/>
          <w:kern w:val="0"/>
        </w:rPr>
        <w:t>旅游发展规划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hint="eastAsia" w:ascii="仿宋_GB2312" w:hAnsi="仿宋_GB2312" w:cs="仿宋_GB2312"/>
          <w:snapToGrid w:val="0"/>
          <w:kern w:val="0"/>
        </w:rPr>
        <w:t>发展现状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  <w:snapToGrid w:val="0"/>
          <w:kern w:val="0"/>
        </w:rPr>
        <w:t>3.</w:t>
      </w:r>
      <w:r>
        <w:rPr>
          <w:rFonts w:hint="eastAsia" w:ascii="仿宋_GB2312" w:hAnsi="仿宋_GB2312" w:cs="仿宋_GB2312"/>
          <w:snapToGrid w:val="0"/>
          <w:kern w:val="0"/>
        </w:rPr>
        <w:t>发展成效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/>
        </w:rPr>
      </w:pPr>
      <w:r>
        <w:rPr>
          <w:rFonts w:hint="eastAsia" w:ascii="黑体" w:hAnsi="黑体" w:eastAsia="黑体" w:cs="黑体"/>
          <w:bCs/>
        </w:rPr>
        <w:t>三、旅游产品建设情况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Cs/>
        </w:rPr>
      </w:pPr>
      <w:r>
        <w:rPr>
          <w:rFonts w:ascii="仿宋_GB2312" w:hAnsi="仿宋_GB2312" w:cs="仿宋_GB2312"/>
          <w:bCs/>
        </w:rPr>
        <w:t>1.</w:t>
      </w:r>
      <w:r>
        <w:rPr>
          <w:rFonts w:hint="eastAsia" w:ascii="仿宋_GB2312" w:hAnsi="仿宋_GB2312" w:cs="仿宋_GB2312"/>
          <w:bCs/>
        </w:rPr>
        <w:t>乡村民宿、观光度假、农事体验、乡土美食、文化创意等产品建设情况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Cs/>
        </w:rPr>
      </w:pPr>
      <w:r>
        <w:rPr>
          <w:rFonts w:ascii="仿宋_GB2312" w:hAnsi="仿宋_GB2312" w:cs="仿宋_GB2312"/>
          <w:bCs/>
        </w:rPr>
        <w:t>2.</w:t>
      </w:r>
      <w:r>
        <w:rPr>
          <w:rFonts w:hint="eastAsia" w:ascii="仿宋_GB2312" w:hAnsi="仿宋_GB2312" w:cs="仿宋_GB2312"/>
          <w:bCs/>
        </w:rPr>
        <w:t>旅游产品开发特点、文化内涵挖掘、创新创意等情况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/>
        </w:rPr>
      </w:pPr>
      <w:r>
        <w:rPr>
          <w:rFonts w:hint="eastAsia" w:ascii="黑体" w:hAnsi="黑体" w:eastAsia="黑体" w:cs="黑体"/>
          <w:bCs/>
        </w:rPr>
        <w:t>四、生态环境和传统文化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1.</w:t>
      </w:r>
      <w:r>
        <w:rPr>
          <w:rFonts w:hint="eastAsia" w:ascii="仿宋_GB2312" w:hAnsi="仿宋_GB2312" w:cs="仿宋_GB2312"/>
          <w:snapToGrid w:val="0"/>
          <w:kern w:val="0"/>
        </w:rPr>
        <w:t>自然生态环境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包括但不限于空气质量等级、水体质量等级、绿化覆盖率等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hint="eastAsia" w:ascii="仿宋_GB2312" w:hAnsi="仿宋_GB2312" w:cs="仿宋_GB2312"/>
          <w:snapToGrid w:val="0"/>
          <w:kern w:val="0"/>
        </w:rPr>
        <w:t>传统文化展示与体验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color w:val="FF000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3.</w:t>
      </w:r>
      <w:r>
        <w:rPr>
          <w:rFonts w:hint="eastAsia" w:ascii="仿宋_GB2312" w:hAnsi="仿宋_GB2312" w:cs="仿宋_GB2312"/>
          <w:snapToGrid w:val="0"/>
          <w:kern w:val="0"/>
        </w:rPr>
        <w:t>生态环境和传统文化保护措施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包括生态环境和传统文化保护制度建设、保护途径、保护经费投入（需说明保护经费占乡村旅游收入比例）、保护效果等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ascii="黑体" w:hAnsi="黑体" w:eastAsia="黑体" w:cs="黑体"/>
          <w:bCs/>
        </w:rPr>
        <w:br w:type="page"/>
      </w:r>
      <w:r>
        <w:rPr>
          <w:rFonts w:hint="eastAsia" w:ascii="黑体" w:hAnsi="黑体" w:eastAsia="黑体" w:cs="黑体"/>
          <w:bCs/>
        </w:rPr>
        <w:t>五、基础设施建设情况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color w:val="FF000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1.</w:t>
      </w:r>
      <w:r>
        <w:rPr>
          <w:rFonts w:hint="eastAsia" w:ascii="仿宋_GB2312" w:hAnsi="仿宋_GB2312" w:cs="仿宋_GB2312"/>
          <w:snapToGrid w:val="0"/>
          <w:kern w:val="0"/>
        </w:rPr>
        <w:t>交通设施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包括外部交通设施（通往乡村的公路等级、是否有城市公交或旅游专线车到达、标识标牌建设等）和内部交通设施（游线设计、游步道建设、内部交通工具等）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hint="eastAsia" w:ascii="仿宋_GB2312" w:hAnsi="仿宋_GB2312" w:cs="仿宋_GB2312"/>
          <w:snapToGrid w:val="0"/>
          <w:kern w:val="0"/>
        </w:rPr>
        <w:t>水电设施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3.</w:t>
      </w:r>
      <w:r>
        <w:rPr>
          <w:rFonts w:hint="eastAsia" w:ascii="仿宋_GB2312" w:hAnsi="仿宋_GB2312" w:cs="仿宋_GB2312"/>
          <w:snapToGrid w:val="0"/>
          <w:kern w:val="0"/>
        </w:rPr>
        <w:t>邮电通讯设施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4.</w:t>
      </w:r>
      <w:r>
        <w:rPr>
          <w:rFonts w:hint="eastAsia" w:ascii="仿宋_GB2312" w:hAnsi="仿宋_GB2312" w:cs="仿宋_GB2312"/>
          <w:snapToGrid w:val="0"/>
          <w:kern w:val="0"/>
        </w:rPr>
        <w:t>环保设施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/>
        </w:rPr>
      </w:pPr>
      <w:r>
        <w:rPr>
          <w:rFonts w:hint="eastAsia" w:ascii="黑体" w:hAnsi="黑体" w:eastAsia="黑体" w:cs="黑体"/>
          <w:bCs/>
        </w:rPr>
        <w:t>六、旅游公共服务设施情况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hint="eastAsia" w:ascii="仿宋_GB2312" w:hAnsi="仿宋_GB2312" w:cs="仿宋_GB2312"/>
          <w:snapToGrid w:val="0"/>
          <w:kern w:val="0"/>
        </w:rPr>
        <w:t>包括但不限于游客中心、停车场、游憩设施、标识标牌、旅游厕所等建设情况。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七、旅游发展带动效益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1.</w:t>
      </w:r>
      <w:r>
        <w:rPr>
          <w:rFonts w:hint="eastAsia" w:ascii="仿宋_GB2312" w:hAnsi="仿宋_GB2312" w:cs="仿宋_GB2312"/>
          <w:snapToGrid w:val="0"/>
          <w:kern w:val="0"/>
        </w:rPr>
        <w:t>带动经济社会发展情况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hint="eastAsia" w:ascii="仿宋_GB2312" w:hAnsi="仿宋_GB2312" w:cs="仿宋_GB2312"/>
          <w:snapToGrid w:val="0"/>
          <w:kern w:val="0"/>
        </w:rPr>
        <w:t>带动村民增收情况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  <w:b/>
        </w:rPr>
      </w:pPr>
      <w:r>
        <w:rPr>
          <w:rFonts w:hint="eastAsia" w:ascii="黑体" w:hAnsi="黑体" w:eastAsia="黑体" w:cs="黑体"/>
          <w:bCs/>
        </w:rPr>
        <w:t>八、可推广复制经验做法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方正小标宋简体" w:hAnsi="仿宋_GB2312" w:eastAsia="方正小标宋简体" w:cs="仿宋"/>
          <w:color w:val="000000"/>
          <w:sz w:val="36"/>
          <w:szCs w:val="36"/>
        </w:rPr>
      </w:pPr>
      <w:r>
        <w:rPr>
          <w:rFonts w:hint="eastAsia" w:ascii="仿宋_GB2312" w:hAnsi="仿宋_GB2312" w:cs="仿宋_GB2312"/>
          <w:snapToGrid w:val="0"/>
          <w:kern w:val="0"/>
        </w:rPr>
        <w:t>可根据实际情况，从旅游产品、发展模式、体制机制创新等方面进行阐述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2"/>
    <w:rsid w:val="002B789B"/>
    <w:rsid w:val="00C95002"/>
    <w:rsid w:val="3466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1 Char Char Char Char"/>
    <w:basedOn w:val="1"/>
    <w:semiHidden/>
    <w:qFormat/>
    <w:uiPriority w:val="0"/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2019-06-12T06:17:00Z</dcterms:created>
  <dc:creator>masiwei</dc:creator>
  <cp:lastModifiedBy>Administrator</cp:lastModifiedBy>
  <dcterms:modified xsi:type="dcterms:W3CDTF">2019-06-13T03:27:45Z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